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906B" w14:textId="77777777" w:rsidR="00B27F0B" w:rsidRPr="000A7B19" w:rsidRDefault="00B27F0B" w:rsidP="000A7B19">
      <w:pPr>
        <w:spacing w:after="0" w:line="240" w:lineRule="auto"/>
        <w:ind w:right="-1"/>
        <w:jc w:val="right"/>
        <w:rPr>
          <w:rFonts w:ascii="Arial" w:hAnsi="Arial" w:cs="Arial"/>
        </w:rPr>
      </w:pPr>
      <w:r w:rsidRPr="000A7B19">
        <w:rPr>
          <w:rFonts w:ascii="Arial" w:hAnsi="Arial" w:cs="Arial"/>
        </w:rPr>
        <w:t>NACRT</w:t>
      </w:r>
    </w:p>
    <w:p w14:paraId="6B4FA61F" w14:textId="32DF9FE6" w:rsidR="00B27F0B" w:rsidRPr="000A7B19" w:rsidRDefault="00B27F0B" w:rsidP="000A7B19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BOSNA I HERCEGOVINA</w:t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</w:p>
    <w:p w14:paraId="69A4EBF8" w14:textId="77777777" w:rsidR="00B27F0B" w:rsidRPr="000A7B19" w:rsidRDefault="00B27F0B" w:rsidP="000A7B19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FEDERACIJA BOSNE I HERCEGOVINE</w:t>
      </w:r>
    </w:p>
    <w:p w14:paraId="76FD7AE8" w14:textId="77777777" w:rsidR="00B27F0B" w:rsidRPr="000A7B19" w:rsidRDefault="00B27F0B" w:rsidP="000A7B19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AGENCIJA ZA NADZOR OSIGURANJA</w:t>
      </w:r>
    </w:p>
    <w:p w14:paraId="7561131C" w14:textId="77777777" w:rsidR="00B27F0B" w:rsidRPr="000A7B19" w:rsidRDefault="00B27F0B" w:rsidP="000A7B19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FEDERACIJE BOSNE I HERCEGOVINE</w:t>
      </w:r>
    </w:p>
    <w:p w14:paraId="28270AB1" w14:textId="77777777" w:rsidR="00B27F0B" w:rsidRPr="000A7B19" w:rsidRDefault="00B27F0B" w:rsidP="000A7B19">
      <w:pPr>
        <w:spacing w:after="0" w:line="240" w:lineRule="auto"/>
        <w:ind w:right="-1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S A R A J E V O</w:t>
      </w:r>
    </w:p>
    <w:p w14:paraId="7CD1E2F7" w14:textId="77777777" w:rsidR="00B27F0B" w:rsidRPr="000A7B19" w:rsidRDefault="00B27F0B" w:rsidP="000A7B19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1AFD268D" w14:textId="77777777" w:rsidR="00B27F0B" w:rsidRPr="000A7B19" w:rsidRDefault="00B27F0B" w:rsidP="000A7B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Na osnovu člana 94. stav (4) i 130. Zakona o osiguranju („Službene novine Federacije BiH”, br.: 23/17 i 103/21) i člana 12. Statuta Agencije za nadzor osiguranja Federacije Bosne i Hercegovine („Službene novine Federacije BiH”, broj 84/17), Stručni savjet Agencije za nadzor osiguranja Federacije Bosne i Hercegovine na _____ sjednici održanoj ___________. 2024. godine, donosi</w:t>
      </w:r>
    </w:p>
    <w:p w14:paraId="2B6FA2FC" w14:textId="77777777" w:rsidR="000A7B19" w:rsidRPr="000A7B19" w:rsidRDefault="000A7B19" w:rsidP="000A7B19">
      <w:pPr>
        <w:pStyle w:val="Default"/>
        <w:jc w:val="center"/>
        <w:rPr>
          <w:rStyle w:val="markedcontent"/>
          <w:rFonts w:ascii="Arial" w:hAnsi="Arial" w:cs="Arial"/>
          <w:sz w:val="22"/>
          <w:szCs w:val="22"/>
        </w:rPr>
      </w:pPr>
    </w:p>
    <w:p w14:paraId="6354BF67" w14:textId="77777777" w:rsidR="000A7B19" w:rsidRPr="000A7B19" w:rsidRDefault="000A7B19" w:rsidP="000A7B19">
      <w:pPr>
        <w:pStyle w:val="Default"/>
        <w:jc w:val="center"/>
        <w:rPr>
          <w:rStyle w:val="markedcontent"/>
          <w:rFonts w:ascii="Arial" w:hAnsi="Arial" w:cs="Arial"/>
          <w:sz w:val="22"/>
          <w:szCs w:val="22"/>
        </w:rPr>
      </w:pPr>
    </w:p>
    <w:p w14:paraId="0136CF6E" w14:textId="77777777" w:rsidR="000A7B19" w:rsidRDefault="00B27F0B" w:rsidP="000A7B19">
      <w:pPr>
        <w:pStyle w:val="Default"/>
        <w:jc w:val="center"/>
        <w:rPr>
          <w:rStyle w:val="markedcontent"/>
          <w:rFonts w:ascii="Arial" w:hAnsi="Arial" w:cs="Arial"/>
          <w:sz w:val="22"/>
          <w:szCs w:val="22"/>
        </w:rPr>
      </w:pPr>
      <w:r w:rsidRPr="000A7B19">
        <w:rPr>
          <w:rStyle w:val="markedcontent"/>
          <w:rFonts w:ascii="Arial" w:hAnsi="Arial" w:cs="Arial"/>
          <w:sz w:val="22"/>
          <w:szCs w:val="22"/>
        </w:rPr>
        <w:t xml:space="preserve">PRAVILNIK O </w:t>
      </w:r>
    </w:p>
    <w:p w14:paraId="28EF4D2A" w14:textId="7876D0D7" w:rsidR="00B27F0B" w:rsidRPr="000A7B19" w:rsidRDefault="00B27F0B" w:rsidP="000A7B19">
      <w:pPr>
        <w:pStyle w:val="Default"/>
        <w:jc w:val="center"/>
        <w:rPr>
          <w:rStyle w:val="markedcontent"/>
          <w:rFonts w:ascii="Arial" w:hAnsi="Arial" w:cs="Arial"/>
          <w:sz w:val="22"/>
          <w:szCs w:val="22"/>
        </w:rPr>
      </w:pPr>
      <w:r w:rsidRPr="000A7B19">
        <w:rPr>
          <w:rStyle w:val="markedcontent"/>
          <w:rFonts w:ascii="Arial" w:hAnsi="Arial" w:cs="Arial"/>
          <w:sz w:val="22"/>
          <w:szCs w:val="22"/>
        </w:rPr>
        <w:t>ULAGANJU SREDSTAVA ŽIVOTNIH OSIGURANJA KOD KOJIH UGOVARAČ OSIGURANJA PREUZIMA INVESTICIJSKI RIZIK</w:t>
      </w:r>
    </w:p>
    <w:p w14:paraId="12E71AAA" w14:textId="77777777" w:rsidR="00B27F0B" w:rsidRDefault="00B27F0B" w:rsidP="000A7B19">
      <w:pPr>
        <w:pStyle w:val="Default"/>
        <w:jc w:val="center"/>
        <w:rPr>
          <w:rStyle w:val="markedcontent"/>
          <w:rFonts w:ascii="Arial" w:hAnsi="Arial" w:cs="Arial"/>
          <w:sz w:val="22"/>
          <w:szCs w:val="22"/>
        </w:rPr>
      </w:pPr>
    </w:p>
    <w:p w14:paraId="38809D79" w14:textId="77777777" w:rsidR="000A7B19" w:rsidRPr="000A7B19" w:rsidRDefault="000A7B19" w:rsidP="000A7B19">
      <w:pPr>
        <w:pStyle w:val="Default"/>
        <w:jc w:val="center"/>
        <w:rPr>
          <w:rStyle w:val="markedcontent"/>
          <w:rFonts w:ascii="Arial" w:hAnsi="Arial" w:cs="Arial"/>
          <w:sz w:val="22"/>
          <w:szCs w:val="22"/>
        </w:rPr>
      </w:pPr>
    </w:p>
    <w:p w14:paraId="03E60886" w14:textId="03DE2621" w:rsidR="000A7B19" w:rsidRDefault="009F3CB0" w:rsidP="000A7B19">
      <w:pPr>
        <w:pStyle w:val="Default"/>
        <w:rPr>
          <w:rStyle w:val="markedcontent"/>
          <w:rFonts w:ascii="Arial" w:hAnsi="Arial" w:cs="Arial"/>
          <w:sz w:val="22"/>
          <w:szCs w:val="22"/>
        </w:rPr>
      </w:pPr>
      <w:r w:rsidRPr="000A7B19">
        <w:rPr>
          <w:rStyle w:val="markedcontent"/>
          <w:rFonts w:ascii="Arial" w:hAnsi="Arial" w:cs="Arial"/>
          <w:sz w:val="22"/>
          <w:szCs w:val="22"/>
        </w:rPr>
        <w:t>I OPĆE ODREDBE</w:t>
      </w:r>
    </w:p>
    <w:p w14:paraId="5632F6A8" w14:textId="77777777" w:rsidR="004B7A31" w:rsidRPr="000A7B19" w:rsidRDefault="004B7A31" w:rsidP="000A7B19">
      <w:pPr>
        <w:pStyle w:val="Default"/>
        <w:rPr>
          <w:rStyle w:val="markedcontent"/>
          <w:rFonts w:ascii="Arial" w:hAnsi="Arial" w:cs="Arial"/>
          <w:sz w:val="22"/>
          <w:szCs w:val="22"/>
        </w:rPr>
      </w:pPr>
    </w:p>
    <w:p w14:paraId="690E8D76" w14:textId="77777777" w:rsidR="00B27F0B" w:rsidRPr="000A7B19" w:rsidRDefault="00B27F0B" w:rsidP="000A7B19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Član 1.</w:t>
      </w:r>
    </w:p>
    <w:p w14:paraId="014FAF8E" w14:textId="24C8B092" w:rsidR="00B27F0B" w:rsidRPr="000A7B19" w:rsidRDefault="00B27F0B" w:rsidP="000A7B19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(Predmet)</w:t>
      </w:r>
    </w:p>
    <w:p w14:paraId="0102C53F" w14:textId="022201B6" w:rsidR="00B27F0B" w:rsidRPr="000A7B19" w:rsidRDefault="00B27F0B" w:rsidP="000A7B19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Ovim Pravilnikom uređuju se vrste ulaganja</w:t>
      </w:r>
      <w:r w:rsidR="00AC7B51">
        <w:rPr>
          <w:rFonts w:ascii="Arial" w:hAnsi="Arial" w:cs="Arial"/>
        </w:rPr>
        <w:t>, visina pojedinačnog ulaganja, način evidencija i izvještavanje ugovarača osiguranja</w:t>
      </w:r>
      <w:r w:rsidRPr="000A7B19">
        <w:rPr>
          <w:rFonts w:ascii="Arial" w:hAnsi="Arial" w:cs="Arial"/>
        </w:rPr>
        <w:t xml:space="preserve"> sredstava životnog osiguranja kod kojih su prava ugovarača osiguranja na osnovu ugovora o osiguranju neposredno povezana sa vrijednošću jedinice imovine uzajamnog, odnosno investicijskog fonda kao i sa promjenom indeksa vrijednosnih papira, odnosno druge referentne vrijednosti.</w:t>
      </w:r>
    </w:p>
    <w:p w14:paraId="2DBE5FE6" w14:textId="77777777" w:rsidR="009F3CB0" w:rsidRPr="000A7B19" w:rsidRDefault="009F3CB0" w:rsidP="000A7B19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</w:rPr>
      </w:pPr>
    </w:p>
    <w:p w14:paraId="30FBAB83" w14:textId="7C697B54" w:rsidR="000A7B19" w:rsidRDefault="009F3CB0" w:rsidP="004B7A31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II ULAGANJE</w:t>
      </w:r>
    </w:p>
    <w:p w14:paraId="1882135C" w14:textId="77777777" w:rsidR="004B7A31" w:rsidRPr="000A7B19" w:rsidRDefault="004B7A31" w:rsidP="004B7A31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Arial" w:hAnsi="Arial" w:cs="Arial"/>
        </w:rPr>
      </w:pPr>
    </w:p>
    <w:p w14:paraId="59C3F1F3" w14:textId="2AE1BC25" w:rsidR="00B27F0B" w:rsidRPr="000A7B19" w:rsidRDefault="00B27F0B" w:rsidP="000A7B19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Član 2.</w:t>
      </w:r>
    </w:p>
    <w:p w14:paraId="0320C9C5" w14:textId="52246859" w:rsidR="00B27F0B" w:rsidRPr="000A7B19" w:rsidRDefault="00B27F0B" w:rsidP="000A7B19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(Vrste ulaganja)</w:t>
      </w:r>
    </w:p>
    <w:p w14:paraId="1BE93D72" w14:textId="40894EA6" w:rsidR="00B27F0B" w:rsidRPr="000A7B19" w:rsidRDefault="00B27F0B" w:rsidP="000A7B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Životno osiguranje kod kojih ugovarač osiguranja na sebe preuzima investicijski rizik</w:t>
      </w:r>
      <w:r w:rsidRPr="000A7B19" w:rsidDel="009E3BBB">
        <w:rPr>
          <w:rFonts w:ascii="Arial" w:hAnsi="Arial" w:cs="Arial"/>
        </w:rPr>
        <w:t xml:space="preserve"> </w:t>
      </w:r>
      <w:r w:rsidRPr="000A7B19">
        <w:rPr>
          <w:rFonts w:ascii="Arial" w:hAnsi="Arial" w:cs="Arial"/>
        </w:rPr>
        <w:t xml:space="preserve"> omogućava isplatu osiguravajuće naknade u slučaju doživljenja i u slučaju smrti pri čemu ugovarač osiguranja snosi cjelokupan rizik ulaganja. Društvo za osiguranje koje obavlja osiguranja kod kojih osiguranik preuzima na sebe investicijski rizik mora u vezi</w:t>
      </w:r>
      <w:r w:rsidR="008534B8" w:rsidRPr="000A7B19">
        <w:rPr>
          <w:rFonts w:ascii="Arial" w:hAnsi="Arial" w:cs="Arial"/>
        </w:rPr>
        <w:t xml:space="preserve"> </w:t>
      </w:r>
      <w:r w:rsidRPr="000A7B19">
        <w:rPr>
          <w:rFonts w:ascii="Arial" w:hAnsi="Arial" w:cs="Arial"/>
        </w:rPr>
        <w:t>sa ovim osiguranjima oblikovati i posebne rezerve.</w:t>
      </w:r>
    </w:p>
    <w:p w14:paraId="2DB6D851" w14:textId="77777777" w:rsidR="00B27F0B" w:rsidRPr="000A7B19" w:rsidRDefault="00B27F0B" w:rsidP="000A7B19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DE6FEB4" w14:textId="77777777" w:rsidR="00B27F0B" w:rsidRPr="000A7B19" w:rsidRDefault="00B27F0B" w:rsidP="000A7B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U slučaju da ugovor o osiguranju garantira određene isplate za životna osiguranja kod kojih ugovarač osiguranja snosi rizik ulaganja potrebno je oblikovati i zasebnu matematičku rezervu za pokriće zajamčenih naknada (na primjer za pokriće rizika smrti, troškova obavljanja djelatnosti ili drugih rizika poput zajamčenih isplata o dospijeću ili zajamčenih otkupnih vrijednosti). Imovina za pokriće navedene matematičke rezerve ulaže se u skladu sa pravilima za ulaganje matematičke rezerve.</w:t>
      </w:r>
    </w:p>
    <w:p w14:paraId="01C62A64" w14:textId="77777777" w:rsidR="00B27F0B" w:rsidRPr="000A7B19" w:rsidRDefault="00B27F0B" w:rsidP="000A7B19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A55007E" w14:textId="6DA85577" w:rsidR="00B27F0B" w:rsidRPr="000A7B19" w:rsidRDefault="002F1517" w:rsidP="000A7B19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S</w:t>
      </w:r>
      <w:r w:rsidR="00B27F0B" w:rsidRPr="000A7B19">
        <w:rPr>
          <w:rFonts w:ascii="Arial" w:hAnsi="Arial" w:cs="Arial"/>
        </w:rPr>
        <w:t xml:space="preserve">redstva životnog osiguranja iz stava (1) ovog člana </w:t>
      </w:r>
      <w:r w:rsidRPr="000A7B19">
        <w:rPr>
          <w:rFonts w:ascii="Arial" w:hAnsi="Arial" w:cs="Arial"/>
        </w:rPr>
        <w:t>mogu se ulagati u</w:t>
      </w:r>
      <w:r w:rsidR="00B27F0B" w:rsidRPr="000A7B19">
        <w:rPr>
          <w:rFonts w:ascii="Arial" w:hAnsi="Arial" w:cs="Arial"/>
        </w:rPr>
        <w:t>:</w:t>
      </w:r>
    </w:p>
    <w:p w14:paraId="1A00A42A" w14:textId="22539138" w:rsidR="00B27F0B" w:rsidRPr="000A7B19" w:rsidRDefault="002F1517" w:rsidP="000A7B19">
      <w:pPr>
        <w:pStyle w:val="ListParagraph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udjele investicijskih fondova i dionice investicijskih fondova registrirani u Bosni i Hercegovini</w:t>
      </w:r>
      <w:r w:rsidR="005454AB" w:rsidRPr="000A7B19">
        <w:rPr>
          <w:rFonts w:ascii="Arial" w:hAnsi="Arial" w:cs="Arial"/>
        </w:rPr>
        <w:t xml:space="preserve"> u skladu sa zakonom kojim se uređuje osnivanje i poslovanje investicionih fondova i društava za upravljanje investicionim fondovima</w:t>
      </w:r>
      <w:r w:rsidR="00B27F0B" w:rsidRPr="000A7B19">
        <w:rPr>
          <w:rFonts w:ascii="Arial" w:hAnsi="Arial" w:cs="Arial"/>
        </w:rPr>
        <w:t>,</w:t>
      </w:r>
    </w:p>
    <w:p w14:paraId="25A6A731" w14:textId="6F6DA649" w:rsidR="00B27F0B" w:rsidRPr="000A7B19" w:rsidRDefault="00C06564" w:rsidP="000A7B19">
      <w:pPr>
        <w:pStyle w:val="ListParagraph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27F0B" w:rsidRPr="000A7B19">
        <w:rPr>
          <w:rFonts w:ascii="Arial" w:hAnsi="Arial" w:cs="Arial"/>
        </w:rPr>
        <w:t xml:space="preserve">rijednosne papire čiji je izdavač Bosna i Hercegovina, Federacija Bosne i Hercegovine, Republika Srpska i Brčko distrikt Bosne i Hercegovine odnosno vrijednosne papire za koje garantira neko od navedenih subjekata i kojima se trguje na organizovanom tržištu vrijednosnih papira u BiH, </w:t>
      </w:r>
    </w:p>
    <w:p w14:paraId="22C8EA77" w14:textId="77777777" w:rsidR="00B27F0B" w:rsidRDefault="00B27F0B" w:rsidP="000A7B19">
      <w:pPr>
        <w:spacing w:after="0" w:line="240" w:lineRule="auto"/>
        <w:jc w:val="both"/>
        <w:rPr>
          <w:rFonts w:ascii="Arial" w:hAnsi="Arial" w:cs="Arial"/>
        </w:rPr>
      </w:pPr>
    </w:p>
    <w:p w14:paraId="46C80F46" w14:textId="77777777" w:rsidR="000E153F" w:rsidRDefault="000E153F" w:rsidP="000A7B19">
      <w:pPr>
        <w:spacing w:after="0" w:line="240" w:lineRule="auto"/>
        <w:jc w:val="both"/>
        <w:rPr>
          <w:rFonts w:ascii="Arial" w:hAnsi="Arial" w:cs="Arial"/>
        </w:rPr>
      </w:pPr>
    </w:p>
    <w:p w14:paraId="4F8704BE" w14:textId="77777777" w:rsidR="00F943E8" w:rsidRPr="000A7B19" w:rsidRDefault="00F943E8" w:rsidP="000A7B19">
      <w:pPr>
        <w:spacing w:after="0" w:line="240" w:lineRule="auto"/>
        <w:jc w:val="both"/>
        <w:rPr>
          <w:rFonts w:ascii="Arial" w:hAnsi="Arial" w:cs="Arial"/>
        </w:rPr>
      </w:pPr>
    </w:p>
    <w:p w14:paraId="7A96E241" w14:textId="5A678A7E" w:rsidR="002F1517" w:rsidRPr="000A7B19" w:rsidRDefault="002F1517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lastRenderedPageBreak/>
        <w:t>Član 3.</w:t>
      </w:r>
    </w:p>
    <w:p w14:paraId="465A7238" w14:textId="77777777" w:rsidR="000A7B19" w:rsidRPr="000A7B19" w:rsidRDefault="002F1517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(Rezerva za pokriće)</w:t>
      </w:r>
    </w:p>
    <w:p w14:paraId="1E16D3C8" w14:textId="2C11EA68" w:rsidR="008534B8" w:rsidRPr="000A7B19" w:rsidRDefault="002F1517" w:rsidP="000A7B19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Ako su prava ugovarača osiguranja na osnovu ugovora o osiguranju neposredno povezana sa vrijednošću jedinice imovine uzajamnog, odnosno investicijskog fonda, ulaganja imovine za pokriće posebne rezerve koje oblikuje društvo za osiguranje u vezi sa tim osiguranjima moraju u najvećoj mogućoj mjeri obuhvatati ulaganja u vrijednosne papire koji predstavljaju jedinice imovine tog uzajamnog, odnosno investicijskog fonda.</w:t>
      </w:r>
    </w:p>
    <w:p w14:paraId="38343559" w14:textId="77777777" w:rsidR="008534B8" w:rsidRPr="000A7B19" w:rsidRDefault="008534B8" w:rsidP="000A7B1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373FAA33" w14:textId="6CC7632A" w:rsidR="00B27F0B" w:rsidRPr="000A7B19" w:rsidRDefault="002F1517" w:rsidP="000A7B19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Ako su prava ugovarača osiguranja na osnovu ugovora o osiguranju neposredno povezana sa promjenom indeksa vrijednosnih papira, odnosno druge referentne vrijednosti, ulaganja imovine za pokriće posebne rezerve koje društvo za osiguranje oblikuje u vezi sa ovim osiguranjima moraju u najvećoj mogućoj mjeri obuhvatati ulaganja u odgovarajuće vrijednosne papire koji prema svojim obilježjima i tržišnosti odgovaraju onima koji čine osnovicu za određivanje indeksa, odnosno druge referentne vrijednosti.</w:t>
      </w:r>
    </w:p>
    <w:p w14:paraId="1EDF0CD4" w14:textId="77777777" w:rsidR="000A7B19" w:rsidRPr="000A7B19" w:rsidRDefault="000A7B19" w:rsidP="000A7B19">
      <w:pPr>
        <w:spacing w:after="0" w:line="240" w:lineRule="auto"/>
        <w:jc w:val="center"/>
        <w:rPr>
          <w:rFonts w:ascii="Arial" w:hAnsi="Arial" w:cs="Arial"/>
        </w:rPr>
      </w:pPr>
    </w:p>
    <w:p w14:paraId="7E3C89FB" w14:textId="41EF92C9" w:rsidR="005454AB" w:rsidRPr="000A7B19" w:rsidRDefault="005454AB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Član </w:t>
      </w:r>
      <w:r w:rsidR="008534B8" w:rsidRPr="000A7B19">
        <w:rPr>
          <w:rFonts w:ascii="Arial" w:hAnsi="Arial" w:cs="Arial"/>
        </w:rPr>
        <w:t>4</w:t>
      </w:r>
      <w:r w:rsidRPr="000A7B19">
        <w:rPr>
          <w:rFonts w:ascii="Arial" w:hAnsi="Arial" w:cs="Arial"/>
        </w:rPr>
        <w:t xml:space="preserve">. </w:t>
      </w:r>
    </w:p>
    <w:p w14:paraId="058A80F1" w14:textId="77777777" w:rsidR="005454AB" w:rsidRPr="000A7B19" w:rsidRDefault="005454AB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(Vrijednost jedinica) </w:t>
      </w:r>
    </w:p>
    <w:p w14:paraId="770A435C" w14:textId="36423585" w:rsidR="008534B8" w:rsidRPr="00F43016" w:rsidRDefault="005454AB" w:rsidP="000A7B19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U slučaju kada je životno osiguranje direktno </w:t>
      </w:r>
      <w:r w:rsidRPr="00F43016">
        <w:rPr>
          <w:rFonts w:ascii="Arial" w:hAnsi="Arial" w:cs="Arial"/>
        </w:rPr>
        <w:t xml:space="preserve">povezano s vrijednošću </w:t>
      </w:r>
      <w:r w:rsidR="00EE54C2" w:rsidRPr="00F43016">
        <w:rPr>
          <w:rFonts w:ascii="Arial" w:hAnsi="Arial" w:cs="Arial"/>
        </w:rPr>
        <w:t xml:space="preserve">udjela ili </w:t>
      </w:r>
      <w:r w:rsidRPr="00F43016">
        <w:rPr>
          <w:rFonts w:ascii="Arial" w:hAnsi="Arial" w:cs="Arial"/>
        </w:rPr>
        <w:t>dionica fonda, a uplata premije se vrši u nepromijenjenom iznosu</w:t>
      </w:r>
      <w:r w:rsidR="000E153F" w:rsidRPr="00F43016">
        <w:rPr>
          <w:rFonts w:ascii="Arial" w:hAnsi="Arial" w:cs="Arial"/>
        </w:rPr>
        <w:t>,</w:t>
      </w:r>
      <w:r w:rsidRPr="00F43016">
        <w:rPr>
          <w:rFonts w:ascii="Arial" w:hAnsi="Arial" w:cs="Arial"/>
        </w:rPr>
        <w:t xml:space="preserve"> u ugovoru o osiguranju mora biti naveden broj jedinica naknade. </w:t>
      </w:r>
    </w:p>
    <w:p w14:paraId="74BFD15B" w14:textId="77777777" w:rsidR="008534B8" w:rsidRPr="004B7A31" w:rsidRDefault="008534B8" w:rsidP="004B7A31">
      <w:pPr>
        <w:spacing w:after="0" w:line="240" w:lineRule="auto"/>
        <w:jc w:val="both"/>
        <w:rPr>
          <w:rFonts w:ascii="Arial" w:hAnsi="Arial" w:cs="Arial"/>
        </w:rPr>
      </w:pPr>
    </w:p>
    <w:p w14:paraId="0D966642" w14:textId="5FC71D67" w:rsidR="005454AB" w:rsidRPr="000A7B19" w:rsidRDefault="005454AB" w:rsidP="000A7B19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Povećanje broja jedinica naknade u odnosu na iznos premije može biti ugovoreno aneksom ugovora o osiguranju. </w:t>
      </w:r>
    </w:p>
    <w:p w14:paraId="5DDDA1DB" w14:textId="77777777" w:rsidR="005454AB" w:rsidRPr="000A7B19" w:rsidRDefault="005454AB" w:rsidP="000A7B1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78233EB2" w14:textId="04034C65" w:rsidR="005454AB" w:rsidRPr="000A7B19" w:rsidRDefault="005454AB" w:rsidP="000A7B19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Ugovorom o osiguranju moguće je osigurati povećanje broja jedinica naknade putem reinvestiranja investicijskih jedinica kroz fond ili se isplata naknade može izvršiti u gotovini.</w:t>
      </w:r>
    </w:p>
    <w:p w14:paraId="733B86E1" w14:textId="77777777" w:rsidR="005454AB" w:rsidRPr="000A7B19" w:rsidRDefault="005454AB" w:rsidP="000A7B19">
      <w:pPr>
        <w:spacing w:after="0" w:line="240" w:lineRule="auto"/>
        <w:jc w:val="center"/>
        <w:rPr>
          <w:rFonts w:ascii="Arial" w:hAnsi="Arial" w:cs="Arial"/>
        </w:rPr>
      </w:pPr>
    </w:p>
    <w:p w14:paraId="03E92CBF" w14:textId="6DF987A2" w:rsidR="008534B8" w:rsidRPr="000A7B19" w:rsidRDefault="008534B8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Član 5.</w:t>
      </w:r>
    </w:p>
    <w:p w14:paraId="4A9DED8D" w14:textId="27AF1C9B" w:rsidR="008534B8" w:rsidRPr="000A7B19" w:rsidRDefault="008534B8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 (Ulaganja vezana s vrijednošću indeksa) </w:t>
      </w:r>
    </w:p>
    <w:p w14:paraId="6106A161" w14:textId="5974B8F4" w:rsidR="009574D7" w:rsidRDefault="008534B8" w:rsidP="009574D7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U slučaju ulaganja sredstava životnog osiguranja, naknade uključene u policu osiguranja </w:t>
      </w:r>
      <w:r w:rsidR="00C06564" w:rsidRPr="00F43016">
        <w:rPr>
          <w:rFonts w:ascii="Arial" w:hAnsi="Arial" w:cs="Arial"/>
        </w:rPr>
        <w:t>mora</w:t>
      </w:r>
      <w:r w:rsidR="000E153F" w:rsidRPr="00F43016">
        <w:rPr>
          <w:rFonts w:ascii="Arial" w:hAnsi="Arial" w:cs="Arial"/>
        </w:rPr>
        <w:t>ju</w:t>
      </w:r>
      <w:r w:rsidRPr="00F43016">
        <w:rPr>
          <w:rFonts w:ascii="Arial" w:hAnsi="Arial" w:cs="Arial"/>
        </w:rPr>
        <w:t xml:space="preserve"> biti direktno povezane s vrijednošću indeksa vrijednosnih papira ili drugih </w:t>
      </w:r>
      <w:r w:rsidRPr="000A7B19">
        <w:rPr>
          <w:rFonts w:ascii="Arial" w:hAnsi="Arial" w:cs="Arial"/>
        </w:rPr>
        <w:t xml:space="preserve">referentnih vrijednosti. </w:t>
      </w:r>
    </w:p>
    <w:p w14:paraId="0D91DB0C" w14:textId="77777777" w:rsidR="008534B8" w:rsidRPr="000A7B19" w:rsidRDefault="008534B8" w:rsidP="000A7B1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161B0B30" w14:textId="5DD76A23" w:rsidR="008534B8" w:rsidRPr="000A7B19" w:rsidRDefault="008534B8" w:rsidP="000A7B19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Prinosi po polici iz stava (1) ovog člana direktno su vezani uz razvoj vrijednosti indeksa, a rizik prinosa snosi ugovarač osiguranja. Ulaganje imovine za pokriće posebne rezerve moraju obuhvatati odgovarajuće vrijednosne papire koji odgovaraju onima iz indeksa. </w:t>
      </w:r>
    </w:p>
    <w:p w14:paraId="2688F18D" w14:textId="77777777" w:rsidR="008534B8" w:rsidRPr="000A7B19" w:rsidRDefault="008534B8" w:rsidP="000A7B19">
      <w:pPr>
        <w:pStyle w:val="ListParagraph"/>
        <w:spacing w:after="0" w:line="240" w:lineRule="auto"/>
        <w:rPr>
          <w:rFonts w:ascii="Arial" w:hAnsi="Arial" w:cs="Arial"/>
        </w:rPr>
      </w:pPr>
    </w:p>
    <w:p w14:paraId="4BB95171" w14:textId="643310DE" w:rsidR="005454AB" w:rsidRPr="000A7B19" w:rsidRDefault="008534B8" w:rsidP="000A7B19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Rizik prinosa kapitala iz stava (2) ovog člana snosi ugovarač osiguranja.</w:t>
      </w:r>
    </w:p>
    <w:p w14:paraId="34A2B037" w14:textId="77777777" w:rsidR="009F3CB0" w:rsidRDefault="009F3CB0" w:rsidP="000A7B19">
      <w:pPr>
        <w:spacing w:after="0" w:line="240" w:lineRule="auto"/>
        <w:jc w:val="both"/>
        <w:rPr>
          <w:rFonts w:ascii="Arial" w:hAnsi="Arial" w:cs="Arial"/>
        </w:rPr>
      </w:pPr>
    </w:p>
    <w:p w14:paraId="092BC72C" w14:textId="77777777" w:rsidR="004B7A31" w:rsidRPr="000A7B19" w:rsidRDefault="004B7A31" w:rsidP="000A7B19">
      <w:pPr>
        <w:spacing w:after="0" w:line="240" w:lineRule="auto"/>
        <w:jc w:val="both"/>
        <w:rPr>
          <w:rFonts w:ascii="Arial" w:hAnsi="Arial" w:cs="Arial"/>
        </w:rPr>
      </w:pPr>
    </w:p>
    <w:p w14:paraId="0CBDD505" w14:textId="1B616EA3" w:rsidR="000A7B19" w:rsidRDefault="009F3CB0" w:rsidP="000A7B19">
      <w:p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III EVIDENCIJA</w:t>
      </w:r>
    </w:p>
    <w:p w14:paraId="12897EE8" w14:textId="77777777" w:rsidR="004B7A31" w:rsidRPr="000A7B19" w:rsidRDefault="004B7A31" w:rsidP="000A7B19">
      <w:pPr>
        <w:spacing w:after="0" w:line="240" w:lineRule="auto"/>
        <w:jc w:val="both"/>
        <w:rPr>
          <w:rFonts w:ascii="Arial" w:hAnsi="Arial" w:cs="Arial"/>
        </w:rPr>
      </w:pPr>
    </w:p>
    <w:p w14:paraId="7C9050EE" w14:textId="14769811" w:rsidR="008534B8" w:rsidRPr="000A7B19" w:rsidRDefault="008534B8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Član </w:t>
      </w:r>
      <w:r w:rsidR="009574D7">
        <w:rPr>
          <w:rFonts w:ascii="Arial" w:hAnsi="Arial" w:cs="Arial"/>
        </w:rPr>
        <w:t>6</w:t>
      </w:r>
      <w:r w:rsidRPr="000A7B19">
        <w:rPr>
          <w:rFonts w:ascii="Arial" w:hAnsi="Arial" w:cs="Arial"/>
        </w:rPr>
        <w:t>.</w:t>
      </w:r>
    </w:p>
    <w:p w14:paraId="3F298997" w14:textId="77777777" w:rsidR="008534B8" w:rsidRPr="000A7B19" w:rsidRDefault="008534B8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(Evidencija)</w:t>
      </w:r>
    </w:p>
    <w:p w14:paraId="1B138FFD" w14:textId="23CD6D4A" w:rsidR="008534B8" w:rsidRPr="000A7B19" w:rsidRDefault="008534B8" w:rsidP="000A7B19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Društvo za osiguranje je obavezno voditi posebnu evidenciju imovine za pokriće svojih obaveza po ugovorima životnog osiguranja povezanim s ulaganjem sredstava i to odvojeno po </w:t>
      </w:r>
      <w:r w:rsidR="00031BB4">
        <w:rPr>
          <w:rFonts w:ascii="Arial" w:hAnsi="Arial" w:cs="Arial"/>
        </w:rPr>
        <w:t>svim vrstama ulaganja iz člana 2. stav (3) ovog pravilnika.</w:t>
      </w:r>
      <w:r w:rsidRPr="000A7B19">
        <w:rPr>
          <w:rFonts w:ascii="Arial" w:hAnsi="Arial" w:cs="Arial"/>
        </w:rPr>
        <w:t xml:space="preserve"> </w:t>
      </w:r>
    </w:p>
    <w:p w14:paraId="75FF3789" w14:textId="77777777" w:rsidR="008534B8" w:rsidRPr="000A7B19" w:rsidRDefault="008534B8" w:rsidP="000A7B1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33549E9F" w14:textId="2F2CBE1B" w:rsidR="005454AB" w:rsidRDefault="008534B8" w:rsidP="000A7B19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Društvo za osiguranje mora imati pokrivene obaveze koje proizlaze iz ugovora životnog osiguranja povezane s ulaganjem sredstava odgovarajućom aktivom i to ažurirano sa datumom kada se računa saldo osiguranikova računa.</w:t>
      </w:r>
    </w:p>
    <w:p w14:paraId="1979E8CA" w14:textId="77777777" w:rsidR="004B7A31" w:rsidRPr="004B7A31" w:rsidRDefault="004B7A31" w:rsidP="004B7A31">
      <w:pPr>
        <w:pStyle w:val="ListParagraph"/>
        <w:rPr>
          <w:rFonts w:ascii="Arial" w:hAnsi="Arial" w:cs="Arial"/>
        </w:rPr>
      </w:pPr>
    </w:p>
    <w:p w14:paraId="13A76FD5" w14:textId="77777777" w:rsidR="004B7A31" w:rsidRDefault="004B7A31" w:rsidP="004B7A31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453CCF96" w14:textId="77777777" w:rsidR="000E153F" w:rsidRDefault="000E153F" w:rsidP="004B7A31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6A545565" w14:textId="77777777" w:rsidR="000E153F" w:rsidRPr="000A7B19" w:rsidRDefault="000E153F" w:rsidP="004B7A31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7F23A0E2" w14:textId="77777777" w:rsidR="000A7B19" w:rsidRPr="000A7B19" w:rsidRDefault="000A7B19" w:rsidP="000A7B19">
      <w:pPr>
        <w:spacing w:after="0" w:line="240" w:lineRule="auto"/>
        <w:jc w:val="both"/>
        <w:rPr>
          <w:rFonts w:ascii="Arial" w:hAnsi="Arial" w:cs="Arial"/>
        </w:rPr>
      </w:pPr>
    </w:p>
    <w:p w14:paraId="1AA2C5FB" w14:textId="72462C57" w:rsidR="009F3CB0" w:rsidRPr="000A7B19" w:rsidRDefault="009F3CB0" w:rsidP="000A7B19">
      <w:p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lastRenderedPageBreak/>
        <w:t>IV</w:t>
      </w:r>
      <w:r w:rsidR="00B36FA9">
        <w:rPr>
          <w:rFonts w:ascii="Arial" w:hAnsi="Arial" w:cs="Arial"/>
        </w:rPr>
        <w:t xml:space="preserve"> INFORMIRANJE GOVARAČA OSIGURANJA I</w:t>
      </w:r>
      <w:r w:rsidRPr="000A7B19">
        <w:rPr>
          <w:rFonts w:ascii="Arial" w:hAnsi="Arial" w:cs="Arial"/>
        </w:rPr>
        <w:t xml:space="preserve"> IZVJEŠTAVANJE</w:t>
      </w:r>
    </w:p>
    <w:p w14:paraId="03E70971" w14:textId="77777777" w:rsidR="009F3CB0" w:rsidRPr="000A7B19" w:rsidRDefault="009F3CB0" w:rsidP="000A7B19">
      <w:pPr>
        <w:spacing w:after="0" w:line="240" w:lineRule="auto"/>
        <w:jc w:val="both"/>
        <w:rPr>
          <w:rFonts w:ascii="Arial" w:hAnsi="Arial" w:cs="Arial"/>
        </w:rPr>
      </w:pPr>
    </w:p>
    <w:p w14:paraId="217666E5" w14:textId="3D7E2F63" w:rsidR="009F3CB0" w:rsidRPr="000A7B19" w:rsidRDefault="009F3CB0" w:rsidP="000E153F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Član </w:t>
      </w:r>
      <w:r w:rsidR="009574D7">
        <w:rPr>
          <w:rFonts w:ascii="Arial" w:hAnsi="Arial" w:cs="Arial"/>
        </w:rPr>
        <w:t>7</w:t>
      </w:r>
      <w:r w:rsidRPr="000A7B19">
        <w:rPr>
          <w:rFonts w:ascii="Arial" w:hAnsi="Arial" w:cs="Arial"/>
        </w:rPr>
        <w:t>.</w:t>
      </w:r>
    </w:p>
    <w:p w14:paraId="4F1C4556" w14:textId="4C34019A" w:rsidR="009F3CB0" w:rsidRPr="000A7B19" w:rsidRDefault="009F3CB0" w:rsidP="000E153F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(Prethodno informiranje)</w:t>
      </w:r>
    </w:p>
    <w:p w14:paraId="4951989C" w14:textId="1BDBAE5E" w:rsidR="00031BB4" w:rsidRPr="00F43016" w:rsidRDefault="009F3CB0" w:rsidP="000E153F">
      <w:p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Društvo za osiguranje dužno je prije sklapanja ugovora o osiguranju ugovarač</w:t>
      </w:r>
      <w:r w:rsidR="00F616A8">
        <w:rPr>
          <w:rFonts w:ascii="Arial" w:hAnsi="Arial" w:cs="Arial"/>
        </w:rPr>
        <w:t xml:space="preserve">u osiguranja, </w:t>
      </w:r>
      <w:r w:rsidR="00F616A8" w:rsidRPr="00F43016">
        <w:rPr>
          <w:rFonts w:ascii="Arial" w:hAnsi="Arial" w:cs="Arial"/>
        </w:rPr>
        <w:t xml:space="preserve">pored informacija propisanih Zakonom o osiguranju, </w:t>
      </w:r>
      <w:r w:rsidRPr="00F43016">
        <w:rPr>
          <w:rFonts w:ascii="Arial" w:hAnsi="Arial" w:cs="Arial"/>
        </w:rPr>
        <w:t xml:space="preserve">pisano </w:t>
      </w:r>
      <w:r w:rsidR="00F616A8" w:rsidRPr="00F43016">
        <w:rPr>
          <w:rFonts w:ascii="Arial" w:hAnsi="Arial" w:cs="Arial"/>
        </w:rPr>
        <w:t xml:space="preserve">dostaviti </w:t>
      </w:r>
      <w:r w:rsidRPr="00F43016">
        <w:rPr>
          <w:rFonts w:ascii="Arial" w:hAnsi="Arial" w:cs="Arial"/>
        </w:rPr>
        <w:t>obavijest</w:t>
      </w:r>
      <w:r w:rsidR="00031BB4" w:rsidRPr="00F43016">
        <w:rPr>
          <w:rFonts w:ascii="Arial" w:hAnsi="Arial" w:cs="Arial"/>
        </w:rPr>
        <w:t xml:space="preserve"> </w:t>
      </w:r>
      <w:r w:rsidR="004B7A31" w:rsidRPr="00F43016">
        <w:rPr>
          <w:rFonts w:ascii="Arial" w:hAnsi="Arial" w:cs="Arial"/>
        </w:rPr>
        <w:t>i o ključnim informacijama o proizvodu, i to</w:t>
      </w:r>
      <w:r w:rsidR="00031BB4" w:rsidRPr="00F43016">
        <w:rPr>
          <w:rFonts w:ascii="Arial" w:hAnsi="Arial" w:cs="Arial"/>
        </w:rPr>
        <w:t>:</w:t>
      </w:r>
    </w:p>
    <w:p w14:paraId="2BCD4045" w14:textId="77777777" w:rsidR="00031BB4" w:rsidRPr="00F43016" w:rsidRDefault="009F3CB0" w:rsidP="000E15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3016">
        <w:rPr>
          <w:rFonts w:ascii="Arial" w:hAnsi="Arial" w:cs="Arial"/>
        </w:rPr>
        <w:t>prospektu fonda, a naročito o strukturi ulaganja portfelja fonda</w:t>
      </w:r>
      <w:r w:rsidR="00031BB4" w:rsidRPr="00F43016">
        <w:rPr>
          <w:rFonts w:ascii="Arial" w:hAnsi="Arial" w:cs="Arial"/>
        </w:rPr>
        <w:t xml:space="preserve">, </w:t>
      </w:r>
    </w:p>
    <w:p w14:paraId="29AF7F26" w14:textId="77777777" w:rsidR="009574D7" w:rsidRPr="00F43016" w:rsidRDefault="00031BB4" w:rsidP="000E15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3016">
        <w:rPr>
          <w:rFonts w:ascii="Arial" w:hAnsi="Arial" w:cs="Arial"/>
        </w:rPr>
        <w:t>informacijama o izdavaocu vrijednosnog papira, kamatnoj stopi i datumu dospijeća</w:t>
      </w:r>
      <w:r w:rsidR="009574D7" w:rsidRPr="00F43016">
        <w:rPr>
          <w:rFonts w:ascii="Arial" w:hAnsi="Arial" w:cs="Arial"/>
        </w:rPr>
        <w:t>,</w:t>
      </w:r>
    </w:p>
    <w:p w14:paraId="01DEF71B" w14:textId="2B8AB53A" w:rsidR="00F616A8" w:rsidRPr="00F43016" w:rsidRDefault="00F616A8" w:rsidP="000E15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3016">
        <w:rPr>
          <w:rFonts w:ascii="Arial" w:hAnsi="Arial" w:cs="Arial"/>
        </w:rPr>
        <w:t>vrstama riziko osiguranja i sumama osiguranja,</w:t>
      </w:r>
    </w:p>
    <w:p w14:paraId="3F18F097" w14:textId="40654361" w:rsidR="009F3CB0" w:rsidRPr="00F43016" w:rsidRDefault="009574D7" w:rsidP="000E15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3016">
        <w:rPr>
          <w:rFonts w:ascii="Arial" w:hAnsi="Arial" w:cs="Arial"/>
        </w:rPr>
        <w:t>načinu</w:t>
      </w:r>
      <w:r w:rsidR="004B7A31" w:rsidRPr="00F43016">
        <w:rPr>
          <w:rFonts w:ascii="Arial" w:hAnsi="Arial" w:cs="Arial"/>
        </w:rPr>
        <w:t xml:space="preserve"> </w:t>
      </w:r>
      <w:bookmarkStart w:id="0" w:name="_Hlk184044711"/>
      <w:r w:rsidR="004B7A31" w:rsidRPr="00F43016">
        <w:rPr>
          <w:rFonts w:ascii="Arial" w:hAnsi="Arial" w:cs="Arial"/>
        </w:rPr>
        <w:t>izračuna</w:t>
      </w:r>
      <w:bookmarkEnd w:id="0"/>
      <w:r w:rsidRPr="00F43016">
        <w:rPr>
          <w:rFonts w:ascii="Arial" w:hAnsi="Arial" w:cs="Arial"/>
        </w:rPr>
        <w:t xml:space="preserve"> broja jedinica naknade posebne rezerve</w:t>
      </w:r>
      <w:r w:rsidR="004B7A31" w:rsidRPr="00F43016">
        <w:rPr>
          <w:rFonts w:ascii="Arial" w:hAnsi="Arial" w:cs="Arial"/>
        </w:rPr>
        <w:t xml:space="preserve"> uz formule za računanje,</w:t>
      </w:r>
    </w:p>
    <w:p w14:paraId="52AF54B9" w14:textId="44B5FF8F" w:rsidR="009574D7" w:rsidRPr="00F43016" w:rsidRDefault="009574D7" w:rsidP="000E15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3016">
        <w:rPr>
          <w:rFonts w:ascii="Arial" w:hAnsi="Arial" w:cs="Arial"/>
        </w:rPr>
        <w:t>načinu</w:t>
      </w:r>
      <w:r w:rsidR="004B7A31" w:rsidRPr="00F43016">
        <w:rPr>
          <w:rFonts w:ascii="Arial" w:hAnsi="Arial" w:cs="Arial"/>
        </w:rPr>
        <w:t xml:space="preserve"> izračuna</w:t>
      </w:r>
      <w:r w:rsidRPr="00F43016">
        <w:rPr>
          <w:rFonts w:ascii="Arial" w:hAnsi="Arial" w:cs="Arial"/>
        </w:rPr>
        <w:t xml:space="preserve"> vrijednosti indeksa ili druge referentne vrijednosti</w:t>
      </w:r>
      <w:r w:rsidR="004B7A31" w:rsidRPr="00F43016">
        <w:rPr>
          <w:rFonts w:ascii="Arial" w:hAnsi="Arial" w:cs="Arial"/>
        </w:rPr>
        <w:t xml:space="preserve"> uz formule za računanje;</w:t>
      </w:r>
    </w:p>
    <w:p w14:paraId="7E412526" w14:textId="1519F641" w:rsidR="004B7A31" w:rsidRPr="00F43016" w:rsidRDefault="004B7A31" w:rsidP="000E15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3016">
        <w:rPr>
          <w:rFonts w:ascii="Arial" w:hAnsi="Arial" w:cs="Arial"/>
        </w:rPr>
        <w:t xml:space="preserve">vremenski period uzimanja osnovice za izračun jedinica naknade odnosno indeksa ili druge referentne vrijednosti, </w:t>
      </w:r>
    </w:p>
    <w:p w14:paraId="6D168CD9" w14:textId="47F990C7" w:rsidR="004B7A31" w:rsidRPr="00F43016" w:rsidRDefault="004B7A31" w:rsidP="000E15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3016">
        <w:rPr>
          <w:rFonts w:ascii="Arial" w:hAnsi="Arial" w:cs="Arial"/>
        </w:rPr>
        <w:t xml:space="preserve">elementi koji utiču na izračun </w:t>
      </w:r>
      <w:r w:rsidR="000E153F" w:rsidRPr="00F43016">
        <w:rPr>
          <w:rFonts w:ascii="Arial" w:hAnsi="Arial" w:cs="Arial"/>
        </w:rPr>
        <w:t xml:space="preserve">visine isplate </w:t>
      </w:r>
      <w:r w:rsidRPr="00F43016">
        <w:rPr>
          <w:rFonts w:ascii="Arial" w:hAnsi="Arial" w:cs="Arial"/>
        </w:rPr>
        <w:t>kod prijevremenog prekida police</w:t>
      </w:r>
      <w:r w:rsidR="000E153F" w:rsidRPr="00F43016">
        <w:rPr>
          <w:rFonts w:ascii="Arial" w:hAnsi="Arial" w:cs="Arial"/>
        </w:rPr>
        <w:t xml:space="preserve"> </w:t>
      </w:r>
      <w:r w:rsidRPr="00F43016">
        <w:rPr>
          <w:rFonts w:ascii="Arial" w:hAnsi="Arial" w:cs="Arial"/>
        </w:rPr>
        <w:t>osiguranja</w:t>
      </w:r>
      <w:r w:rsidR="000E153F" w:rsidRPr="00F43016">
        <w:rPr>
          <w:rFonts w:ascii="Arial" w:hAnsi="Arial" w:cs="Arial"/>
        </w:rPr>
        <w:t>,</w:t>
      </w:r>
    </w:p>
    <w:p w14:paraId="5256A5DD" w14:textId="51FBF741" w:rsidR="009574D7" w:rsidRPr="00F43016" w:rsidRDefault="009574D7" w:rsidP="000E15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F43016">
        <w:rPr>
          <w:rFonts w:ascii="Arial" w:hAnsi="Arial" w:cs="Arial"/>
        </w:rPr>
        <w:t xml:space="preserve">vrstama naknada koje se obračunavaju na teret ugovarača osiguranja </w:t>
      </w:r>
      <w:r w:rsidR="00EE54C2" w:rsidRPr="00F43016">
        <w:rPr>
          <w:rFonts w:ascii="Arial" w:hAnsi="Arial" w:cs="Arial"/>
        </w:rPr>
        <w:t xml:space="preserve">prilikom zaključenja ili </w:t>
      </w:r>
      <w:r w:rsidRPr="00F43016">
        <w:rPr>
          <w:rFonts w:ascii="Arial" w:hAnsi="Arial" w:cs="Arial"/>
        </w:rPr>
        <w:t>prijevremenog raskida police osiguranja</w:t>
      </w:r>
      <w:r w:rsidR="00F616A8" w:rsidRPr="00F43016">
        <w:rPr>
          <w:rFonts w:ascii="Arial" w:hAnsi="Arial" w:cs="Arial"/>
        </w:rPr>
        <w:t>.</w:t>
      </w:r>
    </w:p>
    <w:p w14:paraId="3FBA3706" w14:textId="77777777" w:rsidR="009F3CB0" w:rsidRPr="00F43016" w:rsidRDefault="009F3CB0" w:rsidP="000A7B19">
      <w:pPr>
        <w:spacing w:after="0" w:line="240" w:lineRule="auto"/>
        <w:jc w:val="both"/>
        <w:rPr>
          <w:rFonts w:ascii="Arial" w:hAnsi="Arial" w:cs="Arial"/>
        </w:rPr>
      </w:pPr>
    </w:p>
    <w:p w14:paraId="1B7D850F" w14:textId="12B2223C" w:rsidR="009F3CB0" w:rsidRPr="00F43016" w:rsidRDefault="009F3CB0" w:rsidP="000A7B19">
      <w:pPr>
        <w:spacing w:after="0" w:line="240" w:lineRule="auto"/>
        <w:jc w:val="center"/>
        <w:rPr>
          <w:rFonts w:ascii="Arial" w:hAnsi="Arial" w:cs="Arial"/>
        </w:rPr>
      </w:pPr>
      <w:r w:rsidRPr="00F43016">
        <w:rPr>
          <w:rFonts w:ascii="Arial" w:hAnsi="Arial" w:cs="Arial"/>
        </w:rPr>
        <w:t xml:space="preserve">Član </w:t>
      </w:r>
      <w:r w:rsidR="009574D7" w:rsidRPr="00F43016">
        <w:rPr>
          <w:rFonts w:ascii="Arial" w:hAnsi="Arial" w:cs="Arial"/>
        </w:rPr>
        <w:t>8</w:t>
      </w:r>
      <w:r w:rsidRPr="00F43016">
        <w:rPr>
          <w:rFonts w:ascii="Arial" w:hAnsi="Arial" w:cs="Arial"/>
        </w:rPr>
        <w:t>.</w:t>
      </w:r>
    </w:p>
    <w:p w14:paraId="2320E476" w14:textId="77777777" w:rsidR="009F3CB0" w:rsidRPr="000A7B19" w:rsidRDefault="009F3CB0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 (Individualne evidencije) </w:t>
      </w:r>
    </w:p>
    <w:p w14:paraId="71B9B56C" w14:textId="77777777" w:rsidR="009F3CB0" w:rsidRPr="000A7B19" w:rsidRDefault="009F3CB0" w:rsidP="000A7B19">
      <w:p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Društvo za osiguranje je dužno za svakog ugovarača osiguranja voditi individualni račun koji prikazuje podatke o broju investicijskih jedinica koje posjeduje ili s vrijednošću fonda, koji je za tog ugovarača osiguranja potpuno transparentan, odnosno dostupan u svakom trenutku. </w:t>
      </w:r>
    </w:p>
    <w:p w14:paraId="3744CB57" w14:textId="77777777" w:rsidR="009F3CB0" w:rsidRPr="000A7B19" w:rsidRDefault="009F3CB0" w:rsidP="000A7B19">
      <w:pPr>
        <w:spacing w:after="0" w:line="240" w:lineRule="auto"/>
        <w:jc w:val="both"/>
        <w:rPr>
          <w:rFonts w:ascii="Arial" w:hAnsi="Arial" w:cs="Arial"/>
        </w:rPr>
      </w:pPr>
    </w:p>
    <w:p w14:paraId="31CE604D" w14:textId="39DC069A" w:rsidR="009F3CB0" w:rsidRPr="000A7B19" w:rsidRDefault="009F3CB0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Član </w:t>
      </w:r>
      <w:r w:rsidR="009574D7">
        <w:rPr>
          <w:rFonts w:ascii="Arial" w:hAnsi="Arial" w:cs="Arial"/>
        </w:rPr>
        <w:t>9</w:t>
      </w:r>
      <w:r w:rsidRPr="000A7B19">
        <w:rPr>
          <w:rFonts w:ascii="Arial" w:hAnsi="Arial" w:cs="Arial"/>
        </w:rPr>
        <w:t xml:space="preserve">. </w:t>
      </w:r>
    </w:p>
    <w:p w14:paraId="3559B063" w14:textId="51D9F665" w:rsidR="009F3CB0" w:rsidRPr="000A7B19" w:rsidRDefault="009F3CB0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(Obavijest) </w:t>
      </w:r>
    </w:p>
    <w:p w14:paraId="2855E33D" w14:textId="135DD868" w:rsidR="009F3CB0" w:rsidRPr="000A7B19" w:rsidRDefault="009F3CB0" w:rsidP="000A7B1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Društvo za osiguranje je obavezno dostaviti ugovaraču osiguranja za svaku finansijsku </w:t>
      </w:r>
      <w:r w:rsidRPr="004B7A31">
        <w:rPr>
          <w:rFonts w:ascii="Arial" w:hAnsi="Arial" w:cs="Arial"/>
        </w:rPr>
        <w:t xml:space="preserve">godinu, </w:t>
      </w:r>
      <w:r w:rsidR="009574D7" w:rsidRPr="004B7A31">
        <w:rPr>
          <w:rFonts w:ascii="Arial" w:hAnsi="Arial" w:cs="Arial"/>
        </w:rPr>
        <w:t xml:space="preserve">za police osiguranja koje su vezane za vrijednosti jedinica, </w:t>
      </w:r>
      <w:r w:rsidRPr="004B7A31">
        <w:rPr>
          <w:rFonts w:ascii="Arial" w:hAnsi="Arial" w:cs="Arial"/>
        </w:rPr>
        <w:t>izvještaj koje sadrži</w:t>
      </w:r>
      <w:r w:rsidRPr="000A7B19">
        <w:rPr>
          <w:rFonts w:ascii="Arial" w:hAnsi="Arial" w:cs="Arial"/>
        </w:rPr>
        <w:t xml:space="preserve"> minimalno sljedeće podatke: </w:t>
      </w:r>
    </w:p>
    <w:p w14:paraId="2399B725" w14:textId="6BA57E4E" w:rsidR="009F3CB0" w:rsidRPr="000A7B19" w:rsidRDefault="009F3CB0" w:rsidP="000A7B1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ukupan iznos koji je osiguranik platio, </w:t>
      </w:r>
    </w:p>
    <w:p w14:paraId="206E426D" w14:textId="6B584FFA" w:rsidR="009F3CB0" w:rsidRPr="000A7B19" w:rsidRDefault="009F3CB0" w:rsidP="000A7B1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ukupan iznos koji je uložen, </w:t>
      </w:r>
    </w:p>
    <w:p w14:paraId="5519F7F0" w14:textId="659EC604" w:rsidR="009F3CB0" w:rsidRPr="000A7B19" w:rsidRDefault="009F3CB0" w:rsidP="000A7B1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ukupan broj jedinica, </w:t>
      </w:r>
    </w:p>
    <w:p w14:paraId="5421A707" w14:textId="3E8434CF" w:rsidR="009F3CB0" w:rsidRPr="000A7B19" w:rsidRDefault="009F3CB0" w:rsidP="000A7B1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vrijednost jedinica, </w:t>
      </w:r>
    </w:p>
    <w:p w14:paraId="00874848" w14:textId="3FCEFBB9" w:rsidR="009F3CB0" w:rsidRPr="000A7B19" w:rsidRDefault="009F3CB0" w:rsidP="000A7B1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način kalkulacije vrijednosti jedinice</w:t>
      </w:r>
      <w:r w:rsidR="009574D7">
        <w:rPr>
          <w:rFonts w:ascii="Arial" w:hAnsi="Arial" w:cs="Arial"/>
        </w:rPr>
        <w:t>.</w:t>
      </w:r>
    </w:p>
    <w:p w14:paraId="2389A997" w14:textId="77777777" w:rsidR="009F3CB0" w:rsidRPr="000A7B19" w:rsidRDefault="009F3CB0" w:rsidP="000A7B19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14F4F185" w14:textId="16EEE91C" w:rsidR="009574D7" w:rsidRPr="004B7A31" w:rsidRDefault="009574D7" w:rsidP="009574D7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7A31">
        <w:rPr>
          <w:rFonts w:ascii="Arial" w:hAnsi="Arial" w:cs="Arial"/>
        </w:rPr>
        <w:t>Društvo za osiguranje je obavezno dostaviti ugovaraču osiguranja za svaku finansijsku godinu, za police osiguranja koje su vezane za vrijednosti indeksa ili druge referentne vrijed</w:t>
      </w:r>
      <w:r w:rsidR="00EE54C2" w:rsidRPr="004B7A31">
        <w:rPr>
          <w:rFonts w:ascii="Arial" w:hAnsi="Arial" w:cs="Arial"/>
        </w:rPr>
        <w:t>n</w:t>
      </w:r>
      <w:r w:rsidRPr="004B7A31">
        <w:rPr>
          <w:rFonts w:ascii="Arial" w:hAnsi="Arial" w:cs="Arial"/>
        </w:rPr>
        <w:t xml:space="preserve">osti, izvještaj koje sadrži minimalno sljedeće podatke: </w:t>
      </w:r>
    </w:p>
    <w:p w14:paraId="13E2364A" w14:textId="77777777" w:rsidR="009574D7" w:rsidRPr="004B7A31" w:rsidRDefault="009574D7" w:rsidP="009574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B7A31">
        <w:rPr>
          <w:rFonts w:ascii="Arial" w:hAnsi="Arial" w:cs="Arial"/>
        </w:rPr>
        <w:t xml:space="preserve">ukupan iznos koji je osiguranik platio, </w:t>
      </w:r>
    </w:p>
    <w:p w14:paraId="6849667C" w14:textId="77777777" w:rsidR="009574D7" w:rsidRPr="004B7A31" w:rsidRDefault="009574D7" w:rsidP="009574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B7A31">
        <w:rPr>
          <w:rFonts w:ascii="Arial" w:hAnsi="Arial" w:cs="Arial"/>
        </w:rPr>
        <w:t xml:space="preserve">ukupan iznos koji je uložen, </w:t>
      </w:r>
    </w:p>
    <w:p w14:paraId="62ED8653" w14:textId="5B1AFFD7" w:rsidR="009574D7" w:rsidRPr="004B7A31" w:rsidRDefault="009574D7" w:rsidP="009574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B7A31">
        <w:rPr>
          <w:rFonts w:ascii="Arial" w:hAnsi="Arial" w:cs="Arial"/>
        </w:rPr>
        <w:t xml:space="preserve">vrijednost indeksa ili druge referentne vrijednosti, </w:t>
      </w:r>
    </w:p>
    <w:p w14:paraId="3A845054" w14:textId="77777777" w:rsidR="009574D7" w:rsidRPr="004B7A31" w:rsidRDefault="009574D7" w:rsidP="009574D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4B7A31">
        <w:rPr>
          <w:rFonts w:ascii="Arial" w:hAnsi="Arial" w:cs="Arial"/>
        </w:rPr>
        <w:t>način kalkulacije vrijednosti jedinice.</w:t>
      </w:r>
    </w:p>
    <w:p w14:paraId="22D9B4AC" w14:textId="77777777" w:rsidR="009574D7" w:rsidRPr="004B7A31" w:rsidRDefault="009574D7" w:rsidP="009574D7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4F2FE056" w14:textId="29C1AA29" w:rsidR="009F3CB0" w:rsidRPr="004B7A31" w:rsidRDefault="009F3CB0" w:rsidP="000A7B19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B7A31">
        <w:rPr>
          <w:rFonts w:ascii="Arial" w:hAnsi="Arial" w:cs="Arial"/>
        </w:rPr>
        <w:t>Izvještaj iz stava (1)</w:t>
      </w:r>
      <w:r w:rsidR="009574D7" w:rsidRPr="004B7A31">
        <w:rPr>
          <w:rFonts w:ascii="Arial" w:hAnsi="Arial" w:cs="Arial"/>
        </w:rPr>
        <w:t xml:space="preserve"> i (2)</w:t>
      </w:r>
      <w:r w:rsidRPr="004B7A31">
        <w:rPr>
          <w:rFonts w:ascii="Arial" w:hAnsi="Arial" w:cs="Arial"/>
        </w:rPr>
        <w:t xml:space="preserve"> ovog člana </w:t>
      </w:r>
      <w:r w:rsidR="009574D7" w:rsidRPr="004B7A31">
        <w:rPr>
          <w:rFonts w:ascii="Arial" w:hAnsi="Arial" w:cs="Arial"/>
        </w:rPr>
        <w:t xml:space="preserve">društvo za osiguranje </w:t>
      </w:r>
      <w:r w:rsidRPr="004B7A31">
        <w:rPr>
          <w:rFonts w:ascii="Arial" w:hAnsi="Arial" w:cs="Arial"/>
        </w:rPr>
        <w:t xml:space="preserve">dostavlja </w:t>
      </w:r>
      <w:r w:rsidR="009574D7" w:rsidRPr="004B7A31">
        <w:rPr>
          <w:rFonts w:ascii="Arial" w:hAnsi="Arial" w:cs="Arial"/>
        </w:rPr>
        <w:t>ugovaraču osiguranja</w:t>
      </w:r>
      <w:r w:rsidRPr="004B7A31">
        <w:rPr>
          <w:rFonts w:ascii="Arial" w:hAnsi="Arial" w:cs="Arial"/>
        </w:rPr>
        <w:t xml:space="preserve"> do 28.02. tekuće godine za prethodnu godinu. </w:t>
      </w:r>
    </w:p>
    <w:p w14:paraId="5D1F6D65" w14:textId="77777777" w:rsidR="00F616A8" w:rsidRPr="00F616A8" w:rsidRDefault="00F616A8" w:rsidP="00F616A8">
      <w:pPr>
        <w:spacing w:after="0" w:line="240" w:lineRule="auto"/>
        <w:jc w:val="both"/>
        <w:rPr>
          <w:rFonts w:ascii="Arial" w:hAnsi="Arial" w:cs="Arial"/>
        </w:rPr>
      </w:pPr>
    </w:p>
    <w:p w14:paraId="1AAC5AF8" w14:textId="77777777" w:rsidR="009F3CB0" w:rsidRPr="000A7B19" w:rsidRDefault="009F3CB0" w:rsidP="000A7B19">
      <w:pPr>
        <w:spacing w:after="0" w:line="240" w:lineRule="auto"/>
        <w:jc w:val="both"/>
        <w:rPr>
          <w:rFonts w:ascii="Arial" w:hAnsi="Arial" w:cs="Arial"/>
        </w:rPr>
      </w:pPr>
    </w:p>
    <w:p w14:paraId="3DA51EBB" w14:textId="091FF5A0" w:rsidR="009F3CB0" w:rsidRDefault="009F3CB0" w:rsidP="000A7B19">
      <w:p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V </w:t>
      </w:r>
      <w:r w:rsidR="00B36FA9">
        <w:rPr>
          <w:rFonts w:ascii="Arial" w:hAnsi="Arial" w:cs="Arial"/>
        </w:rPr>
        <w:t xml:space="preserve">PRELAZNE I </w:t>
      </w:r>
      <w:r w:rsidRPr="000A7B19">
        <w:rPr>
          <w:rFonts w:ascii="Arial" w:hAnsi="Arial" w:cs="Arial"/>
        </w:rPr>
        <w:t xml:space="preserve">ZAVRŠNE ODREDBE </w:t>
      </w:r>
    </w:p>
    <w:p w14:paraId="62AAD354" w14:textId="77777777" w:rsidR="000E153F" w:rsidRPr="000A7B19" w:rsidRDefault="000E153F" w:rsidP="000A7B19">
      <w:pPr>
        <w:spacing w:after="0" w:line="240" w:lineRule="auto"/>
        <w:jc w:val="both"/>
        <w:rPr>
          <w:rFonts w:ascii="Arial" w:hAnsi="Arial" w:cs="Arial"/>
        </w:rPr>
      </w:pPr>
    </w:p>
    <w:p w14:paraId="3AAB85CF" w14:textId="23304FBB" w:rsidR="009F3CB0" w:rsidRPr="000A7B19" w:rsidRDefault="009F3CB0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Član 1</w:t>
      </w:r>
      <w:r w:rsidR="009574D7">
        <w:rPr>
          <w:rFonts w:ascii="Arial" w:hAnsi="Arial" w:cs="Arial"/>
        </w:rPr>
        <w:t>0</w:t>
      </w:r>
      <w:r w:rsidRPr="000A7B19">
        <w:rPr>
          <w:rFonts w:ascii="Arial" w:hAnsi="Arial" w:cs="Arial"/>
        </w:rPr>
        <w:t>.</w:t>
      </w:r>
    </w:p>
    <w:p w14:paraId="68232D42" w14:textId="318CB5B4" w:rsidR="009F3CB0" w:rsidRPr="000A7B19" w:rsidRDefault="009F3CB0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(Prestanak važenja)</w:t>
      </w:r>
    </w:p>
    <w:p w14:paraId="7A45D0A6" w14:textId="4464D3CE" w:rsidR="009F3CB0" w:rsidRDefault="009F3CB0" w:rsidP="00AC7B51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C7B51">
        <w:rPr>
          <w:rFonts w:ascii="Arial" w:hAnsi="Arial" w:cs="Arial"/>
        </w:rPr>
        <w:t xml:space="preserve">Stupanjem na snagu ovog Pravilnika prestaje važiti </w:t>
      </w:r>
      <w:r w:rsidR="000A7B19" w:rsidRPr="00AC7B51">
        <w:rPr>
          <w:rFonts w:ascii="Arial" w:hAnsi="Arial" w:cs="Arial"/>
        </w:rPr>
        <w:t>Pravilnik o životnom osiguranju vezanom</w:t>
      </w:r>
      <w:r w:rsidR="00AC7B51">
        <w:rPr>
          <w:rFonts w:ascii="Arial" w:hAnsi="Arial" w:cs="Arial"/>
        </w:rPr>
        <w:t xml:space="preserve"> </w:t>
      </w:r>
      <w:r w:rsidR="000A7B19" w:rsidRPr="00AC7B51">
        <w:rPr>
          <w:rFonts w:ascii="Arial" w:hAnsi="Arial" w:cs="Arial"/>
        </w:rPr>
        <w:t>za ulaganje sredstava osiguranja</w:t>
      </w:r>
      <w:r w:rsidRPr="00AC7B51">
        <w:rPr>
          <w:rFonts w:ascii="Arial" w:hAnsi="Arial" w:cs="Arial"/>
        </w:rPr>
        <w:t xml:space="preserve"> („Službene novine Federacije Bosne i Hercegovine", broj </w:t>
      </w:r>
      <w:r w:rsidR="000A7B19" w:rsidRPr="00AC7B51">
        <w:rPr>
          <w:rFonts w:ascii="Arial" w:hAnsi="Arial" w:cs="Arial"/>
        </w:rPr>
        <w:t>1</w:t>
      </w:r>
      <w:r w:rsidRPr="00AC7B51">
        <w:rPr>
          <w:rFonts w:ascii="Arial" w:hAnsi="Arial" w:cs="Arial"/>
        </w:rPr>
        <w:t>/1</w:t>
      </w:r>
      <w:r w:rsidR="000A7B19" w:rsidRPr="00AC7B51">
        <w:rPr>
          <w:rFonts w:ascii="Arial" w:hAnsi="Arial" w:cs="Arial"/>
        </w:rPr>
        <w:t>8</w:t>
      </w:r>
      <w:r w:rsidRPr="00AC7B51">
        <w:rPr>
          <w:rFonts w:ascii="Arial" w:hAnsi="Arial" w:cs="Arial"/>
        </w:rPr>
        <w:t>).</w:t>
      </w:r>
    </w:p>
    <w:p w14:paraId="1A85B7B9" w14:textId="77777777" w:rsidR="00AC7B51" w:rsidRDefault="00AC7B51" w:rsidP="00AC7B51">
      <w:pPr>
        <w:pStyle w:val="ListParagraph"/>
        <w:spacing w:after="0" w:line="240" w:lineRule="auto"/>
        <w:ind w:left="426"/>
        <w:jc w:val="both"/>
        <w:rPr>
          <w:rFonts w:ascii="Arial" w:hAnsi="Arial" w:cs="Arial"/>
        </w:rPr>
      </w:pPr>
    </w:p>
    <w:p w14:paraId="6A45505F" w14:textId="26659EE6" w:rsidR="00AC7B51" w:rsidRPr="00AC7B51" w:rsidRDefault="00AC7B51" w:rsidP="00AC7B51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sve ugovore životnog osiguranja kod kojih ugovarač osiguranja snosi rizik ulaganja zaključene prije stupanja na snagu ovog pravilnika primjenjivat će se odredbe </w:t>
      </w:r>
      <w:r w:rsidRPr="00AC7B51">
        <w:rPr>
          <w:rFonts w:ascii="Arial" w:hAnsi="Arial" w:cs="Arial"/>
        </w:rPr>
        <w:t>Pravilnik</w:t>
      </w:r>
      <w:r w:rsidR="00B9449B">
        <w:rPr>
          <w:rFonts w:ascii="Arial" w:hAnsi="Arial" w:cs="Arial"/>
        </w:rPr>
        <w:t>a</w:t>
      </w:r>
      <w:r w:rsidRPr="00AC7B51">
        <w:rPr>
          <w:rFonts w:ascii="Arial" w:hAnsi="Arial" w:cs="Arial"/>
        </w:rPr>
        <w:t xml:space="preserve"> o životnom osiguranju vezanom za ulaganje sredstava osiguranja</w:t>
      </w:r>
      <w:r>
        <w:rPr>
          <w:rFonts w:ascii="Arial" w:hAnsi="Arial" w:cs="Arial"/>
        </w:rPr>
        <w:t xml:space="preserve"> do isteka trajanja zaključenih ugovora.</w:t>
      </w:r>
    </w:p>
    <w:p w14:paraId="0708BD50" w14:textId="77777777" w:rsidR="00AC7B51" w:rsidRDefault="00AC7B51" w:rsidP="000A7B19">
      <w:pPr>
        <w:spacing w:after="0" w:line="240" w:lineRule="auto"/>
        <w:jc w:val="both"/>
        <w:rPr>
          <w:rFonts w:ascii="Arial" w:hAnsi="Arial" w:cs="Arial"/>
        </w:rPr>
      </w:pPr>
    </w:p>
    <w:p w14:paraId="52899405" w14:textId="4264F562" w:rsidR="000A7B19" w:rsidRPr="000A7B19" w:rsidRDefault="000A7B19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Član 1</w:t>
      </w:r>
      <w:r w:rsidR="009574D7">
        <w:rPr>
          <w:rFonts w:ascii="Arial" w:hAnsi="Arial" w:cs="Arial"/>
        </w:rPr>
        <w:t>1</w:t>
      </w:r>
      <w:r w:rsidRPr="000A7B19">
        <w:rPr>
          <w:rFonts w:ascii="Arial" w:hAnsi="Arial" w:cs="Arial"/>
        </w:rPr>
        <w:t>.</w:t>
      </w:r>
    </w:p>
    <w:p w14:paraId="41AB1578" w14:textId="77777777" w:rsidR="000A7B19" w:rsidRPr="000A7B19" w:rsidRDefault="000A7B19" w:rsidP="000A7B19">
      <w:pPr>
        <w:spacing w:after="0" w:line="240" w:lineRule="auto"/>
        <w:jc w:val="center"/>
        <w:rPr>
          <w:rFonts w:ascii="Arial" w:hAnsi="Arial" w:cs="Arial"/>
        </w:rPr>
      </w:pPr>
      <w:r w:rsidRPr="000A7B19">
        <w:rPr>
          <w:rFonts w:ascii="Arial" w:hAnsi="Arial" w:cs="Arial"/>
        </w:rPr>
        <w:t>(Stupanje na snagu)</w:t>
      </w:r>
    </w:p>
    <w:p w14:paraId="2C58742E" w14:textId="77777777" w:rsidR="000A7B19" w:rsidRPr="000A7B19" w:rsidRDefault="000A7B19" w:rsidP="000A7B19">
      <w:p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Ovaj Pravilnik stupa na snagu osmog dana od dana objavljivanja u „Službenim novinama Federacije Bosne i Hercegovine". </w:t>
      </w:r>
    </w:p>
    <w:p w14:paraId="0A2EB1AF" w14:textId="77777777" w:rsidR="000A7B19" w:rsidRPr="000A7B19" w:rsidRDefault="000A7B19" w:rsidP="000A7B19">
      <w:pPr>
        <w:spacing w:after="0" w:line="240" w:lineRule="auto"/>
        <w:jc w:val="both"/>
        <w:rPr>
          <w:rFonts w:ascii="Arial" w:hAnsi="Arial" w:cs="Arial"/>
        </w:rPr>
      </w:pPr>
    </w:p>
    <w:p w14:paraId="458038DA" w14:textId="77777777" w:rsidR="000A7B19" w:rsidRPr="000A7B19" w:rsidRDefault="000A7B19" w:rsidP="000A7B19">
      <w:pPr>
        <w:spacing w:after="0" w:line="240" w:lineRule="auto"/>
        <w:jc w:val="both"/>
        <w:rPr>
          <w:rFonts w:ascii="Arial" w:hAnsi="Arial" w:cs="Arial"/>
        </w:rPr>
      </w:pPr>
    </w:p>
    <w:p w14:paraId="571C030D" w14:textId="6BCA9E11" w:rsidR="000A7B19" w:rsidRPr="000A7B19" w:rsidRDefault="000A7B19" w:rsidP="000A7B19">
      <w:pPr>
        <w:spacing w:after="0" w:line="240" w:lineRule="auto"/>
        <w:ind w:left="6372" w:firstLine="432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PREDSJEDNIK STRUČNOG SAVJETA</w:t>
      </w:r>
    </w:p>
    <w:p w14:paraId="646F22D9" w14:textId="77777777" w:rsidR="000A7B19" w:rsidRPr="000A7B19" w:rsidRDefault="000A7B19" w:rsidP="000A7B19">
      <w:pPr>
        <w:spacing w:after="0" w:line="240" w:lineRule="auto"/>
        <w:ind w:left="6096" w:firstLine="27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  </w:t>
      </w:r>
    </w:p>
    <w:p w14:paraId="740DE551" w14:textId="3853BDD5" w:rsidR="000A7B19" w:rsidRPr="000A7B19" w:rsidRDefault="000A7B19" w:rsidP="000A7B19">
      <w:pPr>
        <w:spacing w:after="0" w:line="240" w:lineRule="auto"/>
        <w:ind w:left="6096" w:firstLine="276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 </w:t>
      </w:r>
      <w:r w:rsidR="00F43016">
        <w:rPr>
          <w:rFonts w:ascii="Arial" w:hAnsi="Arial" w:cs="Arial"/>
        </w:rPr>
        <w:t>d</w:t>
      </w:r>
      <w:r w:rsidRPr="000A7B19">
        <w:rPr>
          <w:rFonts w:ascii="Arial" w:hAnsi="Arial" w:cs="Arial"/>
        </w:rPr>
        <w:t>r.sci. Edita Kalajdžić</w:t>
      </w:r>
    </w:p>
    <w:p w14:paraId="3F849200" w14:textId="7DEE3943" w:rsidR="000A7B19" w:rsidRPr="000A7B19" w:rsidRDefault="000A7B19" w:rsidP="000A7B19">
      <w:p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>Broj:</w:t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  <w:r w:rsidRPr="000A7B19">
        <w:rPr>
          <w:rFonts w:ascii="Arial" w:hAnsi="Arial" w:cs="Arial"/>
        </w:rPr>
        <w:tab/>
      </w:r>
    </w:p>
    <w:p w14:paraId="309CEC82" w14:textId="43F3A063" w:rsidR="000A7B19" w:rsidRPr="000A7B19" w:rsidRDefault="000A7B19" w:rsidP="000A7B19">
      <w:pPr>
        <w:spacing w:after="0" w:line="240" w:lineRule="auto"/>
        <w:jc w:val="both"/>
        <w:rPr>
          <w:rFonts w:ascii="Arial" w:hAnsi="Arial" w:cs="Arial"/>
        </w:rPr>
      </w:pPr>
      <w:r w:rsidRPr="000A7B19">
        <w:rPr>
          <w:rFonts w:ascii="Arial" w:hAnsi="Arial" w:cs="Arial"/>
        </w:rPr>
        <w:t xml:space="preserve">Sarajevo, __________2024. godine </w:t>
      </w:r>
    </w:p>
    <w:sectPr w:rsidR="000A7B19" w:rsidRPr="000A7B19" w:rsidSect="00AC7B51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199E"/>
    <w:multiLevelType w:val="hybridMultilevel"/>
    <w:tmpl w:val="F20AF10C"/>
    <w:lvl w:ilvl="0" w:tplc="E7DCA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9A6"/>
    <w:multiLevelType w:val="hybridMultilevel"/>
    <w:tmpl w:val="078CCBD6"/>
    <w:lvl w:ilvl="0" w:tplc="E7DCA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B90"/>
    <w:multiLevelType w:val="hybridMultilevel"/>
    <w:tmpl w:val="FEB03F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6C40"/>
    <w:multiLevelType w:val="hybridMultilevel"/>
    <w:tmpl w:val="D6B2F0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957"/>
    <w:multiLevelType w:val="hybridMultilevel"/>
    <w:tmpl w:val="D6B2F0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7150"/>
    <w:multiLevelType w:val="hybridMultilevel"/>
    <w:tmpl w:val="F5242444"/>
    <w:lvl w:ilvl="0" w:tplc="7F3E1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2723"/>
    <w:multiLevelType w:val="hybridMultilevel"/>
    <w:tmpl w:val="6492C04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34155"/>
    <w:multiLevelType w:val="hybridMultilevel"/>
    <w:tmpl w:val="1AEA09D0"/>
    <w:lvl w:ilvl="0" w:tplc="1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A527D"/>
    <w:multiLevelType w:val="hybridMultilevel"/>
    <w:tmpl w:val="D6B2F0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579A0"/>
    <w:multiLevelType w:val="hybridMultilevel"/>
    <w:tmpl w:val="6492C0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05B2"/>
    <w:multiLevelType w:val="hybridMultilevel"/>
    <w:tmpl w:val="FEB03F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F3F0E"/>
    <w:multiLevelType w:val="hybridMultilevel"/>
    <w:tmpl w:val="85BE69E4"/>
    <w:lvl w:ilvl="0" w:tplc="141A0017">
      <w:start w:val="1"/>
      <w:numFmt w:val="lowerLetter"/>
      <w:lvlText w:val="%1)"/>
      <w:lvlJc w:val="left"/>
      <w:pPr>
        <w:ind w:left="784" w:hanging="360"/>
      </w:pPr>
    </w:lvl>
    <w:lvl w:ilvl="1" w:tplc="141A0019" w:tentative="1">
      <w:start w:val="1"/>
      <w:numFmt w:val="lowerLetter"/>
      <w:lvlText w:val="%2."/>
      <w:lvlJc w:val="left"/>
      <w:pPr>
        <w:ind w:left="1504" w:hanging="360"/>
      </w:pPr>
    </w:lvl>
    <w:lvl w:ilvl="2" w:tplc="141A001B" w:tentative="1">
      <w:start w:val="1"/>
      <w:numFmt w:val="lowerRoman"/>
      <w:lvlText w:val="%3."/>
      <w:lvlJc w:val="right"/>
      <w:pPr>
        <w:ind w:left="2224" w:hanging="180"/>
      </w:pPr>
    </w:lvl>
    <w:lvl w:ilvl="3" w:tplc="141A000F" w:tentative="1">
      <w:start w:val="1"/>
      <w:numFmt w:val="decimal"/>
      <w:lvlText w:val="%4."/>
      <w:lvlJc w:val="left"/>
      <w:pPr>
        <w:ind w:left="2944" w:hanging="360"/>
      </w:pPr>
    </w:lvl>
    <w:lvl w:ilvl="4" w:tplc="141A0019" w:tentative="1">
      <w:start w:val="1"/>
      <w:numFmt w:val="lowerLetter"/>
      <w:lvlText w:val="%5."/>
      <w:lvlJc w:val="left"/>
      <w:pPr>
        <w:ind w:left="3664" w:hanging="360"/>
      </w:pPr>
    </w:lvl>
    <w:lvl w:ilvl="5" w:tplc="141A001B" w:tentative="1">
      <w:start w:val="1"/>
      <w:numFmt w:val="lowerRoman"/>
      <w:lvlText w:val="%6."/>
      <w:lvlJc w:val="right"/>
      <w:pPr>
        <w:ind w:left="4384" w:hanging="180"/>
      </w:pPr>
    </w:lvl>
    <w:lvl w:ilvl="6" w:tplc="141A000F" w:tentative="1">
      <w:start w:val="1"/>
      <w:numFmt w:val="decimal"/>
      <w:lvlText w:val="%7."/>
      <w:lvlJc w:val="left"/>
      <w:pPr>
        <w:ind w:left="5104" w:hanging="360"/>
      </w:pPr>
    </w:lvl>
    <w:lvl w:ilvl="7" w:tplc="141A0019" w:tentative="1">
      <w:start w:val="1"/>
      <w:numFmt w:val="lowerLetter"/>
      <w:lvlText w:val="%8."/>
      <w:lvlJc w:val="left"/>
      <w:pPr>
        <w:ind w:left="5824" w:hanging="360"/>
      </w:pPr>
    </w:lvl>
    <w:lvl w:ilvl="8" w:tplc="1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648A4642"/>
    <w:multiLevelType w:val="hybridMultilevel"/>
    <w:tmpl w:val="FEB03FF4"/>
    <w:lvl w:ilvl="0" w:tplc="E7DCA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330DF"/>
    <w:multiLevelType w:val="hybridMultilevel"/>
    <w:tmpl w:val="FEB03F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20C69"/>
    <w:multiLevelType w:val="hybridMultilevel"/>
    <w:tmpl w:val="BA2A7DB0"/>
    <w:lvl w:ilvl="0" w:tplc="141A0017">
      <w:start w:val="1"/>
      <w:numFmt w:val="lowerLetter"/>
      <w:lvlText w:val="%1)"/>
      <w:lvlJc w:val="left"/>
      <w:pPr>
        <w:ind w:left="784" w:hanging="360"/>
      </w:pPr>
    </w:lvl>
    <w:lvl w:ilvl="1" w:tplc="141A0019" w:tentative="1">
      <w:start w:val="1"/>
      <w:numFmt w:val="lowerLetter"/>
      <w:lvlText w:val="%2."/>
      <w:lvlJc w:val="left"/>
      <w:pPr>
        <w:ind w:left="1504" w:hanging="360"/>
      </w:pPr>
    </w:lvl>
    <w:lvl w:ilvl="2" w:tplc="141A001B" w:tentative="1">
      <w:start w:val="1"/>
      <w:numFmt w:val="lowerRoman"/>
      <w:lvlText w:val="%3."/>
      <w:lvlJc w:val="right"/>
      <w:pPr>
        <w:ind w:left="2224" w:hanging="180"/>
      </w:pPr>
    </w:lvl>
    <w:lvl w:ilvl="3" w:tplc="141A000F" w:tentative="1">
      <w:start w:val="1"/>
      <w:numFmt w:val="decimal"/>
      <w:lvlText w:val="%4."/>
      <w:lvlJc w:val="left"/>
      <w:pPr>
        <w:ind w:left="2944" w:hanging="360"/>
      </w:pPr>
    </w:lvl>
    <w:lvl w:ilvl="4" w:tplc="141A0019" w:tentative="1">
      <w:start w:val="1"/>
      <w:numFmt w:val="lowerLetter"/>
      <w:lvlText w:val="%5."/>
      <w:lvlJc w:val="left"/>
      <w:pPr>
        <w:ind w:left="3664" w:hanging="360"/>
      </w:pPr>
    </w:lvl>
    <w:lvl w:ilvl="5" w:tplc="141A001B" w:tentative="1">
      <w:start w:val="1"/>
      <w:numFmt w:val="lowerRoman"/>
      <w:lvlText w:val="%6."/>
      <w:lvlJc w:val="right"/>
      <w:pPr>
        <w:ind w:left="4384" w:hanging="180"/>
      </w:pPr>
    </w:lvl>
    <w:lvl w:ilvl="6" w:tplc="141A000F" w:tentative="1">
      <w:start w:val="1"/>
      <w:numFmt w:val="decimal"/>
      <w:lvlText w:val="%7."/>
      <w:lvlJc w:val="left"/>
      <w:pPr>
        <w:ind w:left="5104" w:hanging="360"/>
      </w:pPr>
    </w:lvl>
    <w:lvl w:ilvl="7" w:tplc="141A0019" w:tentative="1">
      <w:start w:val="1"/>
      <w:numFmt w:val="lowerLetter"/>
      <w:lvlText w:val="%8."/>
      <w:lvlJc w:val="left"/>
      <w:pPr>
        <w:ind w:left="5824" w:hanging="360"/>
      </w:pPr>
    </w:lvl>
    <w:lvl w:ilvl="8" w:tplc="141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6CD27808"/>
    <w:multiLevelType w:val="hybridMultilevel"/>
    <w:tmpl w:val="AB72AC1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0386A"/>
    <w:multiLevelType w:val="hybridMultilevel"/>
    <w:tmpl w:val="7CD8CCEA"/>
    <w:lvl w:ilvl="0" w:tplc="733E6C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00420"/>
    <w:multiLevelType w:val="hybridMultilevel"/>
    <w:tmpl w:val="D6B2F06E"/>
    <w:lvl w:ilvl="0" w:tplc="E7DCA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4145"/>
    <w:multiLevelType w:val="hybridMultilevel"/>
    <w:tmpl w:val="D6B2F0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A4B1E"/>
    <w:multiLevelType w:val="hybridMultilevel"/>
    <w:tmpl w:val="082E1A8E"/>
    <w:lvl w:ilvl="0" w:tplc="98D0DAC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004905">
    <w:abstractNumId w:val="17"/>
  </w:num>
  <w:num w:numId="2" w16cid:durableId="127480573">
    <w:abstractNumId w:val="19"/>
  </w:num>
  <w:num w:numId="3" w16cid:durableId="2111850148">
    <w:abstractNumId w:val="5"/>
  </w:num>
  <w:num w:numId="4" w16cid:durableId="666518948">
    <w:abstractNumId w:val="3"/>
  </w:num>
  <w:num w:numId="5" w16cid:durableId="851407998">
    <w:abstractNumId w:val="11"/>
  </w:num>
  <w:num w:numId="6" w16cid:durableId="1978341563">
    <w:abstractNumId w:val="12"/>
  </w:num>
  <w:num w:numId="7" w16cid:durableId="170879390">
    <w:abstractNumId w:val="13"/>
  </w:num>
  <w:num w:numId="8" w16cid:durableId="1240677883">
    <w:abstractNumId w:val="4"/>
  </w:num>
  <w:num w:numId="9" w16cid:durableId="1152989591">
    <w:abstractNumId w:val="8"/>
  </w:num>
  <w:num w:numId="10" w16cid:durableId="1160079759">
    <w:abstractNumId w:val="18"/>
  </w:num>
  <w:num w:numId="11" w16cid:durableId="950208468">
    <w:abstractNumId w:val="10"/>
  </w:num>
  <w:num w:numId="12" w16cid:durableId="72092809">
    <w:abstractNumId w:val="6"/>
  </w:num>
  <w:num w:numId="13" w16cid:durableId="1985352706">
    <w:abstractNumId w:val="15"/>
  </w:num>
  <w:num w:numId="14" w16cid:durableId="355038966">
    <w:abstractNumId w:val="7"/>
  </w:num>
  <w:num w:numId="15" w16cid:durableId="113595687">
    <w:abstractNumId w:val="0"/>
  </w:num>
  <w:num w:numId="16" w16cid:durableId="1942058646">
    <w:abstractNumId w:val="16"/>
  </w:num>
  <w:num w:numId="17" w16cid:durableId="948270060">
    <w:abstractNumId w:val="14"/>
  </w:num>
  <w:num w:numId="18" w16cid:durableId="168524080">
    <w:abstractNumId w:val="1"/>
  </w:num>
  <w:num w:numId="19" w16cid:durableId="308444298">
    <w:abstractNumId w:val="2"/>
  </w:num>
  <w:num w:numId="20" w16cid:durableId="1077283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B"/>
    <w:rsid w:val="00031BB4"/>
    <w:rsid w:val="000A7B19"/>
    <w:rsid w:val="000E153F"/>
    <w:rsid w:val="002F1517"/>
    <w:rsid w:val="002F3431"/>
    <w:rsid w:val="00342FBB"/>
    <w:rsid w:val="004B7A31"/>
    <w:rsid w:val="00523F02"/>
    <w:rsid w:val="005454AB"/>
    <w:rsid w:val="007C3866"/>
    <w:rsid w:val="008378EF"/>
    <w:rsid w:val="008534B8"/>
    <w:rsid w:val="009574D7"/>
    <w:rsid w:val="009F3CB0"/>
    <w:rsid w:val="00A60F84"/>
    <w:rsid w:val="00AA5C50"/>
    <w:rsid w:val="00AC7B51"/>
    <w:rsid w:val="00B27F0B"/>
    <w:rsid w:val="00B36FA9"/>
    <w:rsid w:val="00B9449B"/>
    <w:rsid w:val="00C06564"/>
    <w:rsid w:val="00E34A5D"/>
    <w:rsid w:val="00EE54C2"/>
    <w:rsid w:val="00F43016"/>
    <w:rsid w:val="00F616A8"/>
    <w:rsid w:val="00F943E8"/>
    <w:rsid w:val="00F96B6C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FFE7"/>
  <w15:chartTrackingRefBased/>
  <w15:docId w15:val="{AC5DA054-C439-493F-A975-5BD3F63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0B"/>
    <w:pPr>
      <w:spacing w:after="200" w:line="276" w:lineRule="auto"/>
    </w:pPr>
    <w:rPr>
      <w:rFonts w:eastAsiaTheme="minorEastAsia"/>
      <w:lang w:eastAsia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7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B27F0B"/>
  </w:style>
  <w:style w:type="character" w:styleId="CommentReference">
    <w:name w:val="annotation reference"/>
    <w:basedOn w:val="DefaultParagraphFont"/>
    <w:uiPriority w:val="99"/>
    <w:semiHidden/>
    <w:unhideWhenUsed/>
    <w:rsid w:val="00B27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F0B"/>
    <w:rPr>
      <w:rFonts w:eastAsiaTheme="minorEastAsia"/>
      <w:sz w:val="20"/>
      <w:szCs w:val="20"/>
      <w:lang w:eastAsia="bs-Latn-BA"/>
      <w14:ligatures w14:val="none"/>
    </w:rPr>
  </w:style>
  <w:style w:type="paragraph" w:styleId="ListParagraph">
    <w:name w:val="List Paragraph"/>
    <w:basedOn w:val="Normal"/>
    <w:uiPriority w:val="34"/>
    <w:qFormat/>
    <w:rsid w:val="00B27F0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6A8"/>
    <w:rPr>
      <w:rFonts w:eastAsiaTheme="minorEastAsia"/>
      <w:b/>
      <w:bCs/>
      <w:sz w:val="20"/>
      <w:szCs w:val="20"/>
      <w:lang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Krčalo</dc:creator>
  <cp:keywords/>
  <dc:description/>
  <cp:lastModifiedBy>Alma Magoda</cp:lastModifiedBy>
  <cp:revision>3</cp:revision>
  <cp:lastPrinted>2024-12-02T13:21:00Z</cp:lastPrinted>
  <dcterms:created xsi:type="dcterms:W3CDTF">2024-12-03T10:51:00Z</dcterms:created>
  <dcterms:modified xsi:type="dcterms:W3CDTF">2024-12-03T11:04:00Z</dcterms:modified>
</cp:coreProperties>
</file>